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Условия технической поддержки KITMS</w:t>
      </w:r>
    </w:p>
    <w:p>
      <w:r>
        <w:t>Публичная редакция документа для сайта kitms.ru</w:t>
      </w:r>
    </w:p>
    <w:p>
      <w:pPr>
        <w:pStyle w:val="Heading2"/>
      </w:pPr>
      <w:r>
        <w:t>1. Предмет поддержки</w:t>
      </w:r>
    </w:p>
    <w:p>
      <w:r>
        <w:t>Техническая поддержка распространяется на продукт KITMS и предназначена для помощи по вопросам эксплуатации рабочего экземпляра, лицензирования и перевыпуска лицензии при переносе на другой сервер.</w:t>
      </w:r>
    </w:p>
    <w:p>
      <w:pPr>
        <w:pStyle w:val="Heading2"/>
      </w:pPr>
      <w:r>
        <w:t>2. Что входит в техническую поддержку</w:t>
      </w:r>
    </w:p>
    <w:p>
      <w:pPr>
        <w:pStyle w:val="ListBullet"/>
      </w:pPr>
      <w:r>
        <w:t>Консультирование по функциям и разделам KITMS.</w:t>
      </w:r>
    </w:p>
    <w:p>
      <w:pPr>
        <w:pStyle w:val="ListBullet"/>
      </w:pPr>
      <w:r>
        <w:t>Разъяснения по лицензированию и применению обновлений.</w:t>
      </w:r>
    </w:p>
    <w:p>
      <w:pPr>
        <w:pStyle w:val="ListBullet"/>
      </w:pPr>
      <w:r>
        <w:t>Помощь по вопросам эксплуатации рабочего экземпляра продукта.</w:t>
      </w:r>
    </w:p>
    <w:p>
      <w:pPr>
        <w:pStyle w:val="ListBullet"/>
      </w:pPr>
      <w:r>
        <w:t>Перевыпуск лицензии при переносе на другой сервер.</w:t>
      </w:r>
    </w:p>
    <w:p>
      <w:pPr>
        <w:pStyle w:val="Heading2"/>
      </w:pPr>
      <w:r>
        <w:t>3. Что не входит в техническую поддержку</w:t>
      </w:r>
    </w:p>
    <w:p>
      <w:pPr>
        <w:pStyle w:val="ListBullet"/>
      </w:pPr>
      <w:r>
        <w:t>Внедрение и первичный запуск системы за заказчика.</w:t>
      </w:r>
    </w:p>
    <w:p>
      <w:pPr>
        <w:pStyle w:val="ListBullet"/>
      </w:pPr>
      <w:r>
        <w:t>Миграция со старой почтовой системы и перенос пользовательских данных.</w:t>
      </w:r>
    </w:p>
    <w:p>
      <w:pPr>
        <w:pStyle w:val="ListBullet"/>
      </w:pPr>
      <w:r>
        <w:t>Первичный аудит инфраструктуры заказчика.</w:t>
      </w:r>
    </w:p>
    <w:p>
      <w:pPr>
        <w:pStyle w:val="ListBullet"/>
      </w:pPr>
      <w:r>
        <w:t>Настройка и сопровождение операционной системы, сетевой среды и внешних сервисов заказчика.</w:t>
      </w:r>
    </w:p>
    <w:p>
      <w:pPr>
        <w:pStyle w:val="Heading2"/>
      </w:pPr>
      <w:r>
        <w:t>4. Порядок дополнительных работ</w:t>
      </w:r>
    </w:p>
    <w:p>
      <w:r>
        <w:t>Если заказчику требуется помощь во внедрении, переносе данных или аудите, такие работы оформляются отдельно и оцениваются после первичного рассмотрения текущей инфраструктуры.</w:t>
      </w:r>
    </w:p>
    <w:p>
      <w:pPr>
        <w:pStyle w:val="Heading2"/>
      </w:pPr>
      <w:r>
        <w:t>5. Канал обращения</w:t>
      </w:r>
    </w:p>
    <w:p>
      <w:r>
        <w:t>Для обращений по технической поддержке и вопросам по продукту используется адрес info@kitms.ru и иные согласованные каналы связи.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